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W w:w="14229" w:type="dxa"/>
        <w:jc w:val="start"/>
        <w:tblInd w:w="57" w:type="dxa"/>
        <w:tblLayout w:type="fixed"/>
        <w:tblCellMar>
          <w:top w:w="0" w:type="dxa"/>
          <w:start w:w="57" w:type="dxa"/>
          <w:bottom w:w="0" w:type="dxa"/>
          <w:end w:w="57" w:type="dxa"/>
        </w:tblCellMar>
      </w:tblPr>
      <w:tblGrid>
        <w:gridCol w:w="6377"/>
        <w:gridCol w:w="7851"/>
      </w:tblGrid>
      <w:tr>
        <w:trPr>
          <w:trHeight w:val="422" w:hRule="atLeast"/>
        </w:trPr>
        <w:tc>
          <w:tcPr>
            <w:tcW w:w="14228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Segoe UI" w:hAnsi="Segoe UI"/>
                <w:b/>
                <w:color w:val="000000"/>
                <w:sz w:val="20"/>
              </w:rPr>
            </w:pPr>
            <w:r>
              <w:rPr>
                <w:rFonts w:ascii="Segoe UI" w:hAnsi="Segoe UI"/>
                <w:b/>
                <w:color w:val="000000"/>
                <w:sz w:val="20"/>
              </w:rPr>
              <w:t>ПАСПОРТ</w:t>
            </w:r>
          </w:p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 xml:space="preserve">    </w:t>
            </w:r>
            <w:r>
              <w:rPr>
                <w:rFonts w:ascii="Segoe UI" w:hAnsi="Segoe UI"/>
                <w:b/>
                <w:color w:val="000000"/>
                <w:sz w:val="20"/>
              </w:rPr>
              <w:t>государственной программы Брянской области</w:t>
            </w:r>
          </w:p>
        </w:tc>
      </w:tr>
      <w:tr>
        <w:trPr>
          <w:trHeight w:val="422" w:hRule="atLeast"/>
        </w:trPr>
        <w:tc>
          <w:tcPr>
            <w:tcW w:w="14228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«Экономическое развитие, инвестиционная политика и инновационная экономика Брянской области»</w:t>
            </w:r>
          </w:p>
        </w:tc>
      </w:tr>
      <w:tr>
        <w:trPr>
          <w:trHeight w:val="422" w:hRule="atLeast"/>
        </w:trPr>
        <w:tc>
          <w:tcPr>
            <w:tcW w:w="14228" w:type="dxa"/>
            <w:gridSpan w:val="2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 Основные положения</w:t>
            </w:r>
          </w:p>
        </w:tc>
      </w:tr>
      <w:tr>
        <w:trPr>
          <w:trHeight w:val="422" w:hRule="atLeast"/>
        </w:trPr>
        <w:tc>
          <w:tcPr>
            <w:tcW w:w="63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Segoe UI" w:hAnsi="Segoe UI"/>
                <w:color w:val="000000"/>
                <w:sz w:val="20"/>
              </w:rPr>
            </w:pPr>
            <w:r>
              <w:rPr>
                <w:rFonts w:ascii="Segoe UI" w:hAnsi="Segoe UI"/>
                <w:color w:val="000000"/>
                <w:sz w:val="20"/>
              </w:rPr>
              <w:t>Куратор государственной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программы</w:t>
            </w:r>
          </w:p>
        </w:tc>
        <w:tc>
          <w:tcPr>
            <w:tcW w:w="78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Петушкова Галина Васильевна, заместитель Губернатора Брянской области</w:t>
            </w:r>
          </w:p>
        </w:tc>
      </w:tr>
      <w:tr>
        <w:trPr>
          <w:trHeight w:val="422" w:hRule="atLeast"/>
        </w:trPr>
        <w:tc>
          <w:tcPr>
            <w:tcW w:w="63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исполнитель государственной программы</w:t>
            </w:r>
          </w:p>
        </w:tc>
        <w:tc>
          <w:tcPr>
            <w:tcW w:w="78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ЭКОНОМИЧЕСКОГО РАЗВИТИЯ БРЯНСКОЙ ОБЛАСТИ</w:t>
            </w:r>
          </w:p>
        </w:tc>
      </w:tr>
      <w:tr>
        <w:trPr>
          <w:trHeight w:val="422" w:hRule="atLeast"/>
        </w:trPr>
        <w:tc>
          <w:tcPr>
            <w:tcW w:w="63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Соисполнитель(и) государственной программы</w:t>
            </w:r>
          </w:p>
        </w:tc>
        <w:tc>
          <w:tcPr>
            <w:tcW w:w="78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управление государственного регулирования тарифов Брянской области; </w:t>
              <w:br/>
              <w:t>управление имущественных отношений Брянской области</w:t>
            </w:r>
          </w:p>
        </w:tc>
      </w:tr>
      <w:tr>
        <w:trPr>
          <w:trHeight w:val="422" w:hRule="atLeast"/>
        </w:trPr>
        <w:tc>
          <w:tcPr>
            <w:tcW w:w="63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Период реализации государственной программы</w:t>
            </w:r>
          </w:p>
        </w:tc>
        <w:tc>
          <w:tcPr>
            <w:tcW w:w="78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1 этап: 2019 - 2024 годы; </w:t>
              <w:br/>
              <w:t>2 этап: 2025 - 2030 годы</w:t>
            </w:r>
          </w:p>
        </w:tc>
      </w:tr>
      <w:tr>
        <w:trPr>
          <w:trHeight w:val="422" w:hRule="atLeast"/>
        </w:trPr>
        <w:tc>
          <w:tcPr>
            <w:tcW w:w="63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Цели государственной программы</w:t>
            </w:r>
          </w:p>
        </w:tc>
        <w:tc>
          <w:tcPr>
            <w:tcW w:w="78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1. Обеспечение роста инвестиций в основной капитал не менее 60 процентов по сравнению с уровнем 2020 года; </w:t>
              <w:br/>
              <w:t xml:space="preserve">2. Обеспечение темпа роста валового регионального продукта Брянской области не ниже показателей прогноза социально-экономического развития Российской Федерации, одобренного Правительством Российской Федерации, в течение периода реализации государственной программы; </w:t>
              <w:br/>
              <w:t xml:space="preserve">3. К 2030 году уровень "цифровой зрелости" государственного и муниципального управления, ключевых отраслей экономики и социальной сферы достигнет 100 процентов; </w:t>
              <w:br/>
              <w:t xml:space="preserve">4. К 2030 году обеспечено увеличение до 99 процентов доли предоставления массовых социально значимых государственных и муниципальных услуг в электронной форме; </w:t>
              <w:br/>
              <w:t>5. Реальный рост дохода на одного работника субъекта малого и среднего предпринимательства к 2030 в 1,2 раза выше, чем рост валового внутреннего продукта</w:t>
            </w:r>
          </w:p>
        </w:tc>
      </w:tr>
      <w:tr>
        <w:trPr>
          <w:trHeight w:val="422" w:hRule="atLeast"/>
        </w:trPr>
        <w:tc>
          <w:tcPr>
            <w:tcW w:w="63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Подпрограммы</w:t>
            </w:r>
          </w:p>
        </w:tc>
        <w:tc>
          <w:tcPr>
            <w:tcW w:w="78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отсутствуют</w:t>
            </w:r>
          </w:p>
        </w:tc>
      </w:tr>
      <w:tr>
        <w:trPr>
          <w:trHeight w:val="422" w:hRule="atLeast"/>
        </w:trPr>
        <w:tc>
          <w:tcPr>
            <w:tcW w:w="63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Объемы финансового обеспечения за счет средств областного бюджета за весь период реализации, рублей</w:t>
            </w:r>
          </w:p>
        </w:tc>
        <w:tc>
          <w:tcPr>
            <w:tcW w:w="78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4 868 383 663,62    рублей </w:t>
            </w:r>
          </w:p>
        </w:tc>
      </w:tr>
      <w:tr>
        <w:trPr>
          <w:trHeight w:val="422" w:hRule="atLeast"/>
        </w:trPr>
        <w:tc>
          <w:tcPr>
            <w:tcW w:w="637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Влияние на достижение национальных целей развития Российской Федерации</w:t>
            </w:r>
          </w:p>
        </w:tc>
        <w:tc>
          <w:tcPr>
            <w:tcW w:w="785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Устойчивая и динамичная экономика / 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продукта;</w:t>
              <w:br/>
              <w:t>Устойчивая и динамичная экономика / 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безработицы;</w:t>
              <w:br/>
              <w:t>Устойчивая и динамичная экономика / Увеличение к 2030 году объема инвестиций в основной капитал не менее чем на 60 процентов по сравнению с уровнем 2020 года за счет постоянного улучшения инвестиционного климата;</w:t>
              <w:br/>
              <w:t>Цифровая трансформация государственного и муниципального управления, экономики и социальной сферы / 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платформы;</w:t>
              <w:br/>
              <w:t>Цифровая трансформация государственного и муниципального управления, экономики и социальной сферы / Достижение к 2030 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</w:tr>
    </w:tbl>
    <w:p>
      <w:pPr>
        <w:pStyle w:val="Normal"/>
        <w:bidi w:val="0"/>
        <w:jc w:val="start"/>
        <w:rPr/>
      </w:pPr>
      <w:r>
        <w:br w:type="page"/>
      </w:r>
      <w:r>
        <w:rPr/>
      </w:r>
    </w:p>
    <w:p>
      <w:pPr>
        <w:pStyle w:val="Normal"/>
        <w:bidi w:val="0"/>
        <w:jc w:val="start"/>
        <w:rPr>
          <w:rFonts w:ascii="Arial" w:hAnsi="Arial"/>
          <w:sz w:val="2"/>
        </w:rPr>
      </w:pPr>
      <w:r>
        <w:rPr>
          <w:rFonts w:ascii="Arial" w:hAnsi="Arial"/>
          <w:sz w:val="2"/>
        </w:rPr>
      </w:r>
    </w:p>
    <w:tbl>
      <w:tblPr>
        <w:tblW w:w="14828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74"/>
        <w:gridCol w:w="1885"/>
        <w:gridCol w:w="1311"/>
        <w:gridCol w:w="1417"/>
        <w:gridCol w:w="1974"/>
        <w:gridCol w:w="1416"/>
        <w:gridCol w:w="2187"/>
        <w:gridCol w:w="1846"/>
        <w:gridCol w:w="1916"/>
      </w:tblGrid>
      <w:tr>
        <w:trPr>
          <w:trHeight w:val="359" w:hRule="atLeast"/>
        </w:trPr>
        <w:tc>
          <w:tcPr>
            <w:tcW w:w="14826" w:type="dxa"/>
            <w:gridSpan w:val="9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 xml:space="preserve">2. Показатели государственной программы </w:t>
            </w:r>
          </w:p>
        </w:tc>
      </w:tr>
      <w:tr>
        <w:trPr>
          <w:trHeight w:val="1096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 xml:space="preserve">№ </w:t>
            </w:r>
            <w:r>
              <w:rPr>
                <w:rFonts w:ascii="Segoe UI" w:hAnsi="Segoe UI"/>
                <w:b/>
                <w:color w:val="000000"/>
                <w:sz w:val="20"/>
              </w:rPr>
              <w:t>п/п</w:t>
            </w:r>
          </w:p>
        </w:tc>
        <w:tc>
          <w:tcPr>
            <w:tcW w:w="18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Базовое значение</w:t>
            </w:r>
          </w:p>
        </w:tc>
        <w:tc>
          <w:tcPr>
            <w:tcW w:w="1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Значения показателей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Документ</w:t>
            </w:r>
          </w:p>
        </w:tc>
        <w:tc>
          <w:tcPr>
            <w:tcW w:w="21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Ответственный за достижение показателя</w:t>
            </w:r>
          </w:p>
        </w:tc>
        <w:tc>
          <w:tcPr>
            <w:tcW w:w="1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Связь с показателями национальных целей</w:t>
            </w:r>
          </w:p>
        </w:tc>
        <w:tc>
          <w:tcPr>
            <w:tcW w:w="19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288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w="13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w="1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w="21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7</w:t>
            </w:r>
          </w:p>
        </w:tc>
        <w:tc>
          <w:tcPr>
            <w:tcW w:w="1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8</w:t>
            </w:r>
          </w:p>
        </w:tc>
        <w:tc>
          <w:tcPr>
            <w:tcW w:w="19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9</w:t>
            </w:r>
          </w:p>
        </w:tc>
      </w:tr>
      <w:tr>
        <w:trPr>
          <w:trHeight w:val="288" w:hRule="atLeast"/>
        </w:trPr>
        <w:tc>
          <w:tcPr>
            <w:tcW w:w="14826" w:type="dxa"/>
            <w:gridSpan w:val="9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Обеспечение роста инвестиций в основной капитал не менее 60 процентов по сравнению с уровнем 2020 года</w:t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Объем инвестиций в основной капитал</w:t>
            </w:r>
          </w:p>
        </w:tc>
        <w:tc>
          <w:tcPr>
            <w:tcW w:w="13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Миллион рублей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2018 год - 58918,3</w:t>
            </w:r>
          </w:p>
        </w:tc>
        <w:tc>
          <w:tcPr>
            <w:tcW w:w="1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2019 год - 63553;</w:t>
              <w:br/>
              <w:t>2020 год - 75241,6;</w:t>
              <w:br/>
              <w:t>2021 год - 83717,9;</w:t>
              <w:br/>
              <w:t>2022 год - 90963,8;</w:t>
              <w:br/>
              <w:t>2023 год - 94135,5;</w:t>
              <w:br/>
              <w:t>2024 год - 110712,6;</w:t>
              <w:br/>
              <w:t>2025 год - 121854,5;</w:t>
              <w:br/>
              <w:t>2026 год - 132162,1;</w:t>
              <w:br/>
              <w:t>2027 год - 142530,5;</w:t>
              <w:br/>
              <w:t>2028 год - 144132,7;</w:t>
              <w:br/>
              <w:t>2029 год - 154694,8;</w:t>
              <w:br/>
              <w:t>2030 год - 166030,8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постановление Правительства Брянской области от 26.08.2019 №398-п «Об утверждении Стратегии социально-экономического развития Брянской области до 2030 года»</w:t>
            </w:r>
          </w:p>
        </w:tc>
        <w:tc>
          <w:tcPr>
            <w:tcW w:w="21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экономического развития Брянской области</w:t>
            </w:r>
          </w:p>
        </w:tc>
        <w:tc>
          <w:tcPr>
            <w:tcW w:w="1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Увеличение к 2030 году объема инвестиций в основной капитал не менее чем на 60 процентов по сравнению с уровнем 2020 года за счет постоянного улучшения инвестиционного климата</w:t>
            </w:r>
          </w:p>
        </w:tc>
        <w:tc>
          <w:tcPr>
            <w:tcW w:w="19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826" w:type="dxa"/>
            <w:gridSpan w:val="9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Обеспечение темпа роста валового регионального продукта Брянской области не ниже показателей прогноза социально-экономического развития Российской Федерации, одобренного Правительством Российской Федерации, в течение периода реализации государственной программы</w:t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Рост валового регионального продукта к предыдущему году</w:t>
            </w:r>
          </w:p>
        </w:tc>
        <w:tc>
          <w:tcPr>
            <w:tcW w:w="13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2018 год - 103</w:t>
            </w:r>
          </w:p>
        </w:tc>
        <w:tc>
          <w:tcPr>
            <w:tcW w:w="1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2019 год - 102,3;</w:t>
              <w:br/>
              <w:t>2020 год - 99,6;</w:t>
              <w:br/>
              <w:t>2021 год - 103,8;</w:t>
              <w:br/>
              <w:t>2022 год - 99,9;</w:t>
              <w:br/>
              <w:t>2023 год - 102;</w:t>
              <w:br/>
              <w:t>2024 год - 100,5;</w:t>
              <w:br/>
              <w:t>2025 год - 102,5;</w:t>
              <w:br/>
              <w:t>2026 год - 102,6;</w:t>
              <w:br/>
              <w:t>2027 год - 102,8;</w:t>
              <w:br/>
              <w:t>2028 год - 102,6;</w:t>
              <w:br/>
              <w:t>2029 год - 102,8;</w:t>
              <w:br/>
              <w:t>2030 год - 103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Прогноз социально-экономического развития Брянской области, утверждаемый ежегодно распоряжением Правительства Брянской области</w:t>
            </w:r>
          </w:p>
        </w:tc>
        <w:tc>
          <w:tcPr>
            <w:tcW w:w="21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экономического развития Брянской области</w:t>
            </w:r>
          </w:p>
        </w:tc>
        <w:tc>
          <w:tcPr>
            <w:tcW w:w="1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темпа роста валового внутреннего продукта страны выше среднемирового и выход не позднее 2030 года на четвертое место в мире по объему валового внутреннего продукта, рассчитанного по паритету покупательной способности, в том числе за счет роста производительности труда, при сохранении макроэкономической стабильности, низкого уровня безработицы и снижении уровня структурной безработицы</w:t>
            </w:r>
          </w:p>
        </w:tc>
        <w:tc>
          <w:tcPr>
            <w:tcW w:w="19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826" w:type="dxa"/>
            <w:gridSpan w:val="9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К 2030 году уровень "цифровой зрелости" государственного и муниципального управления, ключевых отраслей экономики и социальной сферы достигнет 100 процентов</w:t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13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2020 год - 38,1</w:t>
            </w:r>
          </w:p>
        </w:tc>
        <w:tc>
          <w:tcPr>
            <w:tcW w:w="1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2021 год - 40;</w:t>
              <w:br/>
              <w:t>2022 год - 56;</w:t>
              <w:br/>
              <w:t>2023 год - 61;</w:t>
              <w:br/>
              <w:t>2024 год - 68;</w:t>
              <w:br/>
              <w:t>2025 год - 75;</w:t>
              <w:br/>
              <w:t>2026 год - 79;</w:t>
              <w:br/>
              <w:t>2027 год - 83;</w:t>
              <w:br/>
              <w:t>2028 год - 89;</w:t>
              <w:br/>
              <w:t>2029 год - 94;</w:t>
              <w:br/>
              <w:t>2030 год - 100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Указ Президента Российской Федерации от 07.05.2024 №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1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экономического развития Брянской области</w:t>
            </w:r>
          </w:p>
        </w:tc>
        <w:tc>
          <w:tcPr>
            <w:tcW w:w="1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Достижение к 2030 году "цифровой зрелости" государственного и муниципального управления, ключевых отраслей экономики и социальной сферы, в том числе здравоохранения и образования, предполагающей автоматизацию большей части транзакций в рамках единых отраслевых цифровых платформ и модели управления на основе данных с учетом ускоренного внедрения технологий обработки больших объемов данных, машинного обучения и искусственного интеллекта</w:t>
            </w:r>
          </w:p>
        </w:tc>
        <w:tc>
          <w:tcPr>
            <w:tcW w:w="19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826" w:type="dxa"/>
            <w:gridSpan w:val="9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К 2030 году обеспечено увеличение до 99 процентов доли предоставления массовых социально значимых государственных и муниципальных услуг в электронной форме</w:t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Доля предоставления массовых социально значимых государственных и муниципальных услуг в электронной форме</w:t>
            </w:r>
          </w:p>
        </w:tc>
        <w:tc>
          <w:tcPr>
            <w:tcW w:w="13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2021 год - 25</w:t>
            </w:r>
          </w:p>
        </w:tc>
        <w:tc>
          <w:tcPr>
            <w:tcW w:w="1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2022 год - 55;</w:t>
              <w:br/>
              <w:t>2023 год - 95;</w:t>
              <w:br/>
              <w:t>2024 год - 95;</w:t>
              <w:br/>
              <w:t>2025 год - 95;</w:t>
              <w:br/>
              <w:t>2026 год - 95;</w:t>
              <w:br/>
              <w:t>2027 год - 95;</w:t>
              <w:br/>
              <w:t>2028 год - 95;</w:t>
              <w:br/>
              <w:t>2029 год - 95;</w:t>
              <w:br/>
              <w:t>2030 год - 99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Указ Президента Российской Федерации от 07.05.2024 №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1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экономического развития Брянской области</w:t>
            </w:r>
          </w:p>
        </w:tc>
        <w:tc>
          <w:tcPr>
            <w:tcW w:w="1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Увеличение к 2030 году до 99 процентов доли предоставления массовых социально значимых государственных и муниципальных услуг в электронной форме, в том числе внедрение системы поддержки принятия решений в рамках предоставления не менее чем 100 массовых социально значимых государственных услуг в электронной форме в проактивном режиме или при непосредственном обращении заявителя, за счет внедрения в деятельность органов государственной власти единой цифровой платформы</w:t>
            </w:r>
          </w:p>
        </w:tc>
        <w:tc>
          <w:tcPr>
            <w:tcW w:w="19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</w:tr>
      <w:tr>
        <w:trPr>
          <w:trHeight w:val="288" w:hRule="atLeast"/>
        </w:trPr>
        <w:tc>
          <w:tcPr>
            <w:tcW w:w="14826" w:type="dxa"/>
            <w:gridSpan w:val="9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Реальный рост дохода на одного работника субъекта малого и среднего предпринимательства к 2030 в 1,2 раза выше, чем рост валового внутреннего продукта</w:t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188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1311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2024 год - 0</w:t>
            </w:r>
          </w:p>
        </w:tc>
        <w:tc>
          <w:tcPr>
            <w:tcW w:w="19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2025 год - 0,55;</w:t>
              <w:br/>
              <w:t>2026 год - 0,6;</w:t>
              <w:br/>
              <w:t>2027 год - 0,65;</w:t>
              <w:br/>
              <w:t>2028 год - 0,7;</w:t>
              <w:br/>
              <w:t>2029 год - 0,75;</w:t>
              <w:br/>
              <w:t>2030 год - 0,8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Указ Президента Российской Федерации от 7 мая 2024 года №309   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18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экономического развития Брянской области</w:t>
            </w:r>
          </w:p>
        </w:tc>
        <w:tc>
          <w:tcPr>
            <w:tcW w:w="184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в 2024 - 2030 годах реального роста дохода на одного работника субъекта малого и среднего предпринимательства в 1,2 раза выше, чем рост валового внутреннего продукта</w:t>
            </w:r>
          </w:p>
        </w:tc>
        <w:tc>
          <w:tcPr>
            <w:tcW w:w="19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</w:tr>
    </w:tbl>
    <w:p>
      <w:pPr>
        <w:pStyle w:val="Normal"/>
        <w:bidi w:val="0"/>
        <w:jc w:val="start"/>
        <w:rPr/>
      </w:pPr>
      <w:r>
        <w:rPr>
          <w:rFonts w:ascii="Arial" w:hAnsi="Arial"/>
          <w:sz w:val="10"/>
        </w:rPr>
        <w:br/>
        <w:br/>
        <w:br/>
        <w:br/>
        <w:b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Arial" w:hAnsi="Arial"/>
          <w:sz w:val="2"/>
        </w:rPr>
      </w:pPr>
      <w:r>
        <w:rPr>
          <w:rFonts w:ascii="Arial" w:hAnsi="Arial"/>
          <w:sz w:val="2"/>
        </w:rPr>
      </w:r>
    </w:p>
    <w:tbl>
      <w:tblPr>
        <w:tblW w:w="14824" w:type="dxa"/>
        <w:jc w:val="start"/>
        <w:tblInd w:w="32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74"/>
        <w:gridCol w:w="3826"/>
        <w:gridCol w:w="1312"/>
        <w:gridCol w:w="1416"/>
        <w:gridCol w:w="1973"/>
        <w:gridCol w:w="1417"/>
        <w:gridCol w:w="2089"/>
        <w:gridCol w:w="1915"/>
      </w:tblGrid>
      <w:tr>
        <w:trPr>
          <w:trHeight w:val="600" w:hRule="atLeast"/>
        </w:trPr>
        <w:tc>
          <w:tcPr>
            <w:tcW w:w="14822" w:type="dxa"/>
            <w:gridSpan w:val="8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 xml:space="preserve">2.1. Аналитические (сквозные) показатели социально-экономического развития Брянской области </w:t>
              <w:br/>
              <w:t>в рамках государственной программы</w:t>
            </w:r>
          </w:p>
        </w:tc>
      </w:tr>
      <w:tr>
        <w:trPr>
          <w:trHeight w:val="1096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 xml:space="preserve">№ </w:t>
            </w:r>
            <w:r>
              <w:rPr>
                <w:rFonts w:ascii="Segoe UI" w:hAnsi="Segoe UI"/>
                <w:b/>
                <w:color w:val="000000"/>
                <w:sz w:val="20"/>
              </w:rPr>
              <w:t>п/п</w:t>
            </w:r>
          </w:p>
        </w:tc>
        <w:tc>
          <w:tcPr>
            <w:tcW w:w="38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Базовое значение</w:t>
            </w:r>
          </w:p>
        </w:tc>
        <w:tc>
          <w:tcPr>
            <w:tcW w:w="197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Значения показателей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Документ</w:t>
            </w:r>
          </w:p>
        </w:tc>
        <w:tc>
          <w:tcPr>
            <w:tcW w:w="20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Ответственный за достижение показателя</w:t>
            </w:r>
          </w:p>
        </w:tc>
        <w:tc>
          <w:tcPr>
            <w:tcW w:w="19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Информационная система</w:t>
            </w:r>
          </w:p>
        </w:tc>
      </w:tr>
      <w:tr>
        <w:trPr>
          <w:trHeight w:val="288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w="13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w="197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w="20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7</w:t>
            </w:r>
          </w:p>
        </w:tc>
        <w:tc>
          <w:tcPr>
            <w:tcW w:w="19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8</w:t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38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Реальная заработная плата работников организаций</w:t>
            </w:r>
          </w:p>
        </w:tc>
        <w:tc>
          <w:tcPr>
            <w:tcW w:w="13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2018 год - 107</w:t>
            </w:r>
          </w:p>
        </w:tc>
        <w:tc>
          <w:tcPr>
            <w:tcW w:w="197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2019 год - 104;</w:t>
              <w:br/>
              <w:t>2020 год - 102,9;</w:t>
              <w:br/>
              <w:t>2021 год - 104,1;</w:t>
              <w:br/>
              <w:t>2022 год - 99,7;</w:t>
              <w:br/>
              <w:t>2023 год - 110,1;</w:t>
              <w:br/>
              <w:t>2024 год - 111,1;</w:t>
              <w:br/>
              <w:t>2025 год - 105;</w:t>
              <w:br/>
              <w:t>2026 год - 105,7;</w:t>
              <w:br/>
              <w:t>2027 год - 104,1;</w:t>
              <w:br/>
              <w:t>2028 год - 103,1;</w:t>
              <w:br/>
              <w:t>2029 год - 103,1;</w:t>
              <w:br/>
              <w:t>2030 год - 103,1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Указ Президента Российской Федерации от 07.05.2024 № 309 "О национальных целях развития Российской Федерации на период до 2030 года и на перспективу до 2036 года"</w:t>
            </w:r>
          </w:p>
        </w:tc>
        <w:tc>
          <w:tcPr>
            <w:tcW w:w="20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здравоохранения Брянской области;</w:t>
              <w:br/>
              <w:t>Департамент культуры Брянской области;</w:t>
              <w:br/>
              <w:t>Департамент образования и науки Брянской области;</w:t>
              <w:br/>
              <w:t>Департамент сельского хозяйства Брянской области;</w:t>
              <w:br/>
              <w:t>Департамент строительства Брянской области;</w:t>
              <w:br/>
              <w:t>Департамент социальной политики и занятости населения Брянской области;</w:t>
              <w:br/>
              <w:t>Департамент физической культуры и спорта Брянской области;</w:t>
              <w:br/>
              <w:t>Департамент промышленности, транспорта и связи Брянской области;</w:t>
              <w:br/>
              <w:t>Департамент экономического развития Брянской области;</w:t>
              <w:br/>
              <w:t>Департамент региональной безопасности Брянской области;</w:t>
              <w:br/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9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w="38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Объем инвестиций в основной капитал</w:t>
            </w:r>
          </w:p>
        </w:tc>
        <w:tc>
          <w:tcPr>
            <w:tcW w:w="13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Миллион рублей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2018 год - 58918,3</w:t>
            </w:r>
          </w:p>
        </w:tc>
        <w:tc>
          <w:tcPr>
            <w:tcW w:w="197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2019 год - 63553;</w:t>
              <w:br/>
              <w:t>2020 год - 75241,6;</w:t>
              <w:br/>
              <w:t>2021 год - 83717,9;</w:t>
              <w:br/>
              <w:t>2022 год - 90963,8;</w:t>
              <w:br/>
              <w:t>2023 год - 94135,5;</w:t>
              <w:br/>
              <w:t>2024 год - 110712,6;</w:t>
              <w:br/>
              <w:t>2025 год - 121854,5;</w:t>
              <w:br/>
              <w:t>2026 год - 132162,1;</w:t>
              <w:br/>
              <w:t>2027 год - 142530,5;</w:t>
              <w:br/>
              <w:t>2028 год - 144132,7;</w:t>
              <w:br/>
              <w:t>2029 год - 154694,8;</w:t>
              <w:br/>
              <w:t>2030 год - 166030,8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Segoe UI" w:hAnsi="Segoe UI"/>
                <w:color w:val="000000"/>
                <w:sz w:val="20"/>
              </w:rPr>
            </w:pPr>
            <w:r>
              <w:rPr>
                <w:rFonts w:ascii="Segoe UI" w:hAnsi="Segoe UI"/>
                <w:color w:val="000000"/>
                <w:sz w:val="20"/>
              </w:rPr>
              <w:t>Указ Президента Российской Федерации от 07.05.2024 № 309 "О национальных целях развития Российской Федерации на период до 2030 года и на перспективу до 2036 года";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Постановление Правительства Брянской области от 26.08.2019 № 398-п "Об утверждении Стратегии социально-экономического развития Брянской области до 2030 года"</w:t>
            </w:r>
          </w:p>
        </w:tc>
        <w:tc>
          <w:tcPr>
            <w:tcW w:w="20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культуры Брянской области;</w:t>
              <w:br/>
              <w:t>Департамент образования и науки Брянской области;</w:t>
              <w:br/>
              <w:t>Департамент сельского хозяйства Брянской области;</w:t>
              <w:br/>
              <w:t>Департамент строительства Брянской области;</w:t>
              <w:br/>
              <w:t>Департамент физической культуры и спорта Брянской области;</w:t>
              <w:br/>
              <w:t>Департамент промышленности, транспорта и связи Брянской области;</w:t>
              <w:br/>
              <w:t>Департамент региональной безопасности Брянской области</w:t>
            </w:r>
          </w:p>
        </w:tc>
        <w:tc>
          <w:tcPr>
            <w:tcW w:w="19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w="38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Валовой региональный продукт в основных ценах действующих лет</w:t>
            </w:r>
          </w:p>
        </w:tc>
        <w:tc>
          <w:tcPr>
            <w:tcW w:w="13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Миллиард рублей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2018 год - 367,2</w:t>
            </w:r>
          </w:p>
        </w:tc>
        <w:tc>
          <w:tcPr>
            <w:tcW w:w="197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2019 год - 399,1;</w:t>
              <w:br/>
              <w:t>2020 год - 414,2;</w:t>
              <w:br/>
              <w:t>2021 год - 482,7;</w:t>
              <w:br/>
              <w:t>2022 год - 549,3;</w:t>
              <w:br/>
              <w:t>2023 год - 599,5;</w:t>
              <w:br/>
              <w:t>2024 год - 666,3;</w:t>
              <w:br/>
              <w:t>2025 год - 729,4;</w:t>
              <w:br/>
              <w:t>2026 год - 783,6;</w:t>
              <w:br/>
              <w:t>2027 год - 843,4;</w:t>
              <w:br/>
              <w:t>2028 год - 896,4;</w:t>
              <w:br/>
              <w:t>2029 год - 953,8;</w:t>
              <w:br/>
              <w:t>2030 год - 1017,8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Segoe UI" w:hAnsi="Segoe UI"/>
                <w:color w:val="000000"/>
                <w:sz w:val="20"/>
              </w:rPr>
            </w:pPr>
            <w:r>
              <w:rPr>
                <w:rFonts w:ascii="Segoe UI" w:hAnsi="Segoe UI"/>
                <w:color w:val="000000"/>
                <w:sz w:val="20"/>
              </w:rPr>
              <w:t>Указ Президента Российской Федерации от 07.05.2024 № 309 "О национальных целях развития Российской Федерации на период до 2030 года и на перспективу до 2036 года";</w:t>
            </w:r>
          </w:p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Постановление Правительства Брянской области от 26.08.2019 № 398-п "Об утверждении Стратегии социально-экономического развития Брянской области до 2030 года"</w:t>
            </w:r>
          </w:p>
        </w:tc>
        <w:tc>
          <w:tcPr>
            <w:tcW w:w="20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природных ресурсов и экологии Брянской области;</w:t>
              <w:br/>
              <w:t>Департамент внутренней политики Брянской области;</w:t>
              <w:br/>
              <w:t>Департамент топливно-энергетического комплекса и жилищно-коммунального хозяйства Брянской области;</w:t>
              <w:br/>
              <w:t>Департамент здравоохранения Брянской области;</w:t>
              <w:br/>
              <w:t>Департамент культуры Брянской области;</w:t>
              <w:br/>
              <w:t>Департамент образования и науки Брянской области;</w:t>
              <w:br/>
              <w:t>Департамент сельского хозяйства Брянской области;</w:t>
              <w:br/>
              <w:t>Департамент финансов Брянской области;</w:t>
              <w:br/>
              <w:t>Департамент строительства Брянской области;</w:t>
              <w:br/>
              <w:t>Департамент социальной политики и занятости населения Брянской области;</w:t>
              <w:br/>
              <w:t>Департамент физической культуры и спорта Брянской области;</w:t>
              <w:br/>
              <w:t>Управление лесами Брянской области;</w:t>
              <w:br/>
              <w:t>Департамент промышленности, транспорта и связи Брянской области;</w:t>
              <w:br/>
              <w:t>Департамент экономического развития Брянской области;</w:t>
              <w:br/>
              <w:t>Департамент региональной безопасности Брянской области;</w:t>
              <w:br/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9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</w:tr>
      <w:tr>
        <w:trPr>
          <w:trHeight w:val="239" w:hRule="atLeast"/>
        </w:trPr>
        <w:tc>
          <w:tcPr>
            <w:tcW w:w="87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w="382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Объем валового регионального продукта в расчете на 1 жителя</w:t>
            </w:r>
          </w:p>
        </w:tc>
        <w:tc>
          <w:tcPr>
            <w:tcW w:w="131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Тысяча рублей</w:t>
            </w:r>
          </w:p>
        </w:tc>
        <w:tc>
          <w:tcPr>
            <w:tcW w:w="1416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2018 год - 305,3</w:t>
            </w:r>
          </w:p>
        </w:tc>
        <w:tc>
          <w:tcPr>
            <w:tcW w:w="197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2019 год - 334,5;</w:t>
              <w:br/>
              <w:t>2020 год - 349,8;</w:t>
              <w:br/>
              <w:t>2021 год - 411,9;</w:t>
              <w:br/>
              <w:t>2022 год - 474,2;</w:t>
              <w:br/>
              <w:t>2023 год - 522,5;</w:t>
              <w:br/>
              <w:t>2024 год - 585,9;</w:t>
              <w:br/>
              <w:t>2025 год - 647,2;</w:t>
              <w:br/>
              <w:t>2026 год - 701,2;</w:t>
              <w:br/>
              <w:t>2027 год - 761,1;</w:t>
              <w:br/>
              <w:t>2028 год - 815,5;</w:t>
              <w:br/>
              <w:t>2029 год - 874,5;</w:t>
              <w:br/>
              <w:t>2030 год - 940,2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Постановление Правительства Брянской области от 26.08.2019 № 398-п "Об утверждении Стратегии социально-экономического развития Брянской области до 2030 года"</w:t>
            </w:r>
          </w:p>
        </w:tc>
        <w:tc>
          <w:tcPr>
            <w:tcW w:w="2089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Департамент природных ресурсов и экологии Брянской области;</w:t>
              <w:br/>
              <w:t>Департамент внутренней политики Брянской области;</w:t>
              <w:br/>
              <w:t>Департамент топливно-энергетического комплекса и жилищно-коммунального хозяйства Брянской области;</w:t>
              <w:br/>
              <w:t>Департамент здравоохранения Брянской области;</w:t>
              <w:br/>
              <w:t>Департамент культуры Брянской области;</w:t>
              <w:br/>
              <w:t>Департамент образования и науки Брянской области;</w:t>
              <w:br/>
              <w:t>Управление лесами Брянской области;</w:t>
              <w:br/>
              <w:t>Департамент сельского хозяйства Брянской области;</w:t>
              <w:br/>
              <w:t>Департамент финансов Брянской области;</w:t>
              <w:br/>
              <w:t>Департамент строительства Брянской области;</w:t>
              <w:br/>
              <w:t>Департамент социальной политики и занятости населения Брянской области;</w:t>
              <w:br/>
              <w:t>Департамент физической культуры и спорта Брянской области;</w:t>
              <w:br/>
              <w:t>Департамент промышленности, транспорта и связи Брянской области;</w:t>
              <w:br/>
              <w:t>Департамент экономического развития Брянской области;</w:t>
              <w:br/>
              <w:t>Департамент региональной безопасности Брянской области;</w:t>
              <w:br/>
              <w:t>Управление потребительского рынка и услуг, контроля в сфере производства и оборота этилового спирта, алкогольной и спиртосодержащей продукции Брянской области</w:t>
            </w:r>
          </w:p>
        </w:tc>
        <w:tc>
          <w:tcPr>
            <w:tcW w:w="19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/>
      </w:pPr>
      <w:r>
        <w:rPr>
          <w:rFonts w:ascii="Arial" w:hAnsi="Arial"/>
          <w:sz w:val="10"/>
        </w:rPr>
        <w:b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p>
      <w:pPr>
        <w:pStyle w:val="Normal"/>
        <w:bidi w:val="0"/>
        <w:jc w:val="start"/>
        <w:rPr>
          <w:rFonts w:ascii="Arial" w:hAnsi="Arial"/>
          <w:sz w:val="2"/>
        </w:rPr>
      </w:pPr>
      <w:r>
        <w:rPr>
          <w:rFonts w:ascii="Arial" w:hAnsi="Arial"/>
          <w:sz w:val="2"/>
        </w:rPr>
      </w:r>
    </w:p>
    <w:tbl>
      <w:tblPr>
        <w:tblW w:w="14841" w:type="dxa"/>
        <w:jc w:val="start"/>
        <w:tblInd w:w="46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875"/>
        <w:gridCol w:w="4818"/>
        <w:gridCol w:w="1310"/>
        <w:gridCol w:w="1417"/>
        <w:gridCol w:w="1553"/>
        <w:gridCol w:w="1417"/>
        <w:gridCol w:w="1524"/>
        <w:gridCol w:w="1925"/>
      </w:tblGrid>
      <w:tr>
        <w:trPr>
          <w:trHeight w:val="359" w:hRule="atLeast"/>
        </w:trPr>
        <w:tc>
          <w:tcPr>
            <w:tcW w:w="14839" w:type="dxa"/>
            <w:gridSpan w:val="8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2.2. Поквартальный план достижения показателей государственной программы в текущем финансовом году</w:t>
            </w:r>
          </w:p>
        </w:tc>
      </w:tr>
      <w:tr>
        <w:trPr>
          <w:trHeight w:val="311" w:hRule="atLeast"/>
        </w:trPr>
        <w:tc>
          <w:tcPr>
            <w:tcW w:w="875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 xml:space="preserve">№ </w:t>
            </w:r>
            <w:r>
              <w:rPr>
                <w:rFonts w:ascii="Segoe UI" w:hAnsi="Segoe UI"/>
                <w:b/>
                <w:color w:val="000000"/>
                <w:sz w:val="20"/>
              </w:rPr>
              <w:t>п/п</w:t>
            </w:r>
          </w:p>
        </w:tc>
        <w:tc>
          <w:tcPr>
            <w:tcW w:w="4818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Наименование показателя</w:t>
            </w:r>
          </w:p>
        </w:tc>
        <w:tc>
          <w:tcPr>
            <w:tcW w:w="1310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Единица измерения (по ОКЕИ)</w:t>
            </w:r>
          </w:p>
        </w:tc>
        <w:tc>
          <w:tcPr>
            <w:tcW w:w="5911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Плановые значения по кварталам</w:t>
            </w:r>
          </w:p>
        </w:tc>
        <w:tc>
          <w:tcPr>
            <w:tcW w:w="1925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На конец текущего</w:t>
              <w:br/>
              <w:t>финансового года</w:t>
            </w:r>
          </w:p>
        </w:tc>
      </w:tr>
      <w:tr>
        <w:trPr>
          <w:trHeight w:val="510" w:hRule="atLeast"/>
        </w:trPr>
        <w:tc>
          <w:tcPr>
            <w:tcW w:w="875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4818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310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I квартал</w:t>
            </w:r>
          </w:p>
        </w:tc>
        <w:tc>
          <w:tcPr>
            <w:tcW w:w="155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II квартал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III квартал</w:t>
            </w:r>
          </w:p>
        </w:tc>
        <w:tc>
          <w:tcPr>
            <w:tcW w:w="15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IV квартал</w:t>
            </w:r>
          </w:p>
        </w:tc>
        <w:tc>
          <w:tcPr>
            <w:tcW w:w="1925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</w:tr>
      <w:tr>
        <w:trPr>
          <w:trHeight w:val="288" w:hRule="atLeast"/>
        </w:trPr>
        <w:tc>
          <w:tcPr>
            <w:tcW w:w="8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48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</w:t>
            </w:r>
          </w:p>
        </w:tc>
        <w:tc>
          <w:tcPr>
            <w:tcW w:w="13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3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4</w:t>
            </w:r>
          </w:p>
        </w:tc>
        <w:tc>
          <w:tcPr>
            <w:tcW w:w="155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5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6</w:t>
            </w:r>
          </w:p>
        </w:tc>
        <w:tc>
          <w:tcPr>
            <w:tcW w:w="15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7</w:t>
            </w:r>
          </w:p>
        </w:tc>
        <w:tc>
          <w:tcPr>
            <w:tcW w:w="19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8</w:t>
            </w:r>
          </w:p>
        </w:tc>
      </w:tr>
      <w:tr>
        <w:trPr>
          <w:trHeight w:val="288" w:hRule="atLeast"/>
        </w:trPr>
        <w:tc>
          <w:tcPr>
            <w:tcW w:w="14839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Обеспечение роста инвестиций в основной капитал не менее 60 процентов по сравнению с уровнем 2020 года</w:t>
            </w:r>
          </w:p>
        </w:tc>
      </w:tr>
      <w:tr>
        <w:trPr>
          <w:trHeight w:val="239" w:hRule="atLeast"/>
        </w:trPr>
        <w:tc>
          <w:tcPr>
            <w:tcW w:w="8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48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Объем инвестиций в основной капитал</w:t>
            </w:r>
          </w:p>
        </w:tc>
        <w:tc>
          <w:tcPr>
            <w:tcW w:w="13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Миллион рублей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55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5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9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121854,5</w:t>
            </w:r>
          </w:p>
        </w:tc>
      </w:tr>
      <w:tr>
        <w:trPr>
          <w:trHeight w:val="288" w:hRule="atLeast"/>
        </w:trPr>
        <w:tc>
          <w:tcPr>
            <w:tcW w:w="14839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Обеспечение темпа роста валового регионального продукта Брянской области не ниже показателей прогноза социально-экономического развития Российской Федерации, одобренного Правительством Российской Федерации, в течение периода реализации государственной программы</w:t>
            </w:r>
          </w:p>
        </w:tc>
      </w:tr>
      <w:tr>
        <w:trPr>
          <w:trHeight w:val="239" w:hRule="atLeast"/>
        </w:trPr>
        <w:tc>
          <w:tcPr>
            <w:tcW w:w="8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48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Рост валового регионального продукта к предыдущему году</w:t>
            </w:r>
          </w:p>
        </w:tc>
        <w:tc>
          <w:tcPr>
            <w:tcW w:w="13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55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5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9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102,5</w:t>
            </w:r>
          </w:p>
        </w:tc>
      </w:tr>
      <w:tr>
        <w:trPr>
          <w:trHeight w:val="288" w:hRule="atLeast"/>
        </w:trPr>
        <w:tc>
          <w:tcPr>
            <w:tcW w:w="14839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К 2030 году уровень "цифровой зрелости" государственного и муниципального управления, ключевых отраслей экономики и социальной сферы достигнет 100 процентов</w:t>
            </w:r>
          </w:p>
        </w:tc>
      </w:tr>
      <w:tr>
        <w:trPr>
          <w:trHeight w:val="239" w:hRule="atLeast"/>
        </w:trPr>
        <w:tc>
          <w:tcPr>
            <w:tcW w:w="8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48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  <w:tc>
          <w:tcPr>
            <w:tcW w:w="13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68</w:t>
            </w:r>
          </w:p>
        </w:tc>
        <w:tc>
          <w:tcPr>
            <w:tcW w:w="155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68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68</w:t>
            </w:r>
          </w:p>
        </w:tc>
        <w:tc>
          <w:tcPr>
            <w:tcW w:w="15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68</w:t>
            </w:r>
          </w:p>
        </w:tc>
        <w:tc>
          <w:tcPr>
            <w:tcW w:w="19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75</w:t>
            </w:r>
          </w:p>
        </w:tc>
      </w:tr>
      <w:tr>
        <w:trPr>
          <w:trHeight w:val="288" w:hRule="atLeast"/>
        </w:trPr>
        <w:tc>
          <w:tcPr>
            <w:tcW w:w="14839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К 2030 году обеспечено увеличение до 99 процентов доли предоставления массовых социально значимых государственных и муниципальных услуг в электронной форме</w:t>
            </w:r>
          </w:p>
        </w:tc>
      </w:tr>
      <w:tr>
        <w:trPr>
          <w:trHeight w:val="239" w:hRule="atLeast"/>
        </w:trPr>
        <w:tc>
          <w:tcPr>
            <w:tcW w:w="8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48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Доля предоставления массовых социально значимых государственных и муниципальных услуг в электронной форме</w:t>
            </w:r>
          </w:p>
        </w:tc>
        <w:tc>
          <w:tcPr>
            <w:tcW w:w="13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95</w:t>
            </w:r>
          </w:p>
        </w:tc>
        <w:tc>
          <w:tcPr>
            <w:tcW w:w="155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95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95</w:t>
            </w:r>
          </w:p>
        </w:tc>
        <w:tc>
          <w:tcPr>
            <w:tcW w:w="15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95</w:t>
            </w:r>
          </w:p>
        </w:tc>
        <w:tc>
          <w:tcPr>
            <w:tcW w:w="19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95</w:t>
            </w:r>
          </w:p>
        </w:tc>
      </w:tr>
      <w:tr>
        <w:trPr>
          <w:trHeight w:val="288" w:hRule="atLeast"/>
        </w:trPr>
        <w:tc>
          <w:tcPr>
            <w:tcW w:w="14839" w:type="dxa"/>
            <w:gridSpan w:val="8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Цель государственной программы: Реальный рост дохода на одного работника субъекта малого и среднего предпринимательства к 2030 в 1,2 раза выше, чем рост валового внутреннего продукта</w:t>
            </w:r>
          </w:p>
        </w:tc>
      </w:tr>
      <w:tr>
        <w:trPr>
          <w:trHeight w:val="239" w:hRule="atLeast"/>
        </w:trPr>
        <w:tc>
          <w:tcPr>
            <w:tcW w:w="87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</w:t>
            </w:r>
          </w:p>
        </w:tc>
        <w:tc>
          <w:tcPr>
            <w:tcW w:w="4818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  <w:tc>
          <w:tcPr>
            <w:tcW w:w="1310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Процент</w:t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55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524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>
                <w:rFonts w:ascii="Arial" w:hAnsi="Arial"/>
                <w:sz w:val="2"/>
              </w:rPr>
            </w:pPr>
            <w:r>
              <w:rPr>
                <w:rFonts w:ascii="Arial" w:hAnsi="Arial"/>
                <w:sz w:val="2"/>
              </w:rPr>
            </w:r>
          </w:p>
        </w:tc>
        <w:tc>
          <w:tcPr>
            <w:tcW w:w="192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0,55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tbl>
      <w:tblPr>
        <w:tblW w:w="14839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1417"/>
        <w:gridCol w:w="4515"/>
        <w:gridCol w:w="2680"/>
        <w:gridCol w:w="2380"/>
        <w:gridCol w:w="3847"/>
      </w:tblGrid>
      <w:tr>
        <w:trPr>
          <w:trHeight w:val="600" w:hRule="atLeast"/>
        </w:trPr>
        <w:tc>
          <w:tcPr>
            <w:tcW w:w="14839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3. Структура государственной программы</w:t>
            </w:r>
          </w:p>
        </w:tc>
      </w:tr>
      <w:tr>
        <w:trPr>
          <w:trHeight w:val="600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 xml:space="preserve">№ </w:t>
            </w:r>
            <w:r>
              <w:rPr>
                <w:rFonts w:ascii="Segoe UI" w:hAnsi="Segoe UI"/>
                <w:b/>
                <w:color w:val="000000"/>
                <w:sz w:val="20"/>
              </w:rPr>
              <w:t>п/п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Задача структурного элемента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Связь с показателями государственной программы</w:t>
            </w:r>
          </w:p>
        </w:tc>
      </w:tr>
      <w:tr>
        <w:trPr>
          <w:trHeight w:val="239" w:hRule="atLeast"/>
        </w:trPr>
        <w:tc>
          <w:tcPr>
            <w:tcW w:w="14839" w:type="dxa"/>
            <w:gridSpan w:val="5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shd w:color="auto" w:fill="EEEEEE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структурные элементы, не входящие в подпрограммы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1.1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"Цифровое государственное управление (Брянская область)"</w:t>
              <w:br/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1.1.1</w:t>
            </w:r>
          </w:p>
        </w:tc>
        <w:tc>
          <w:tcPr>
            <w:tcW w:w="4515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Развитие сервисов на основе информационных технологий для упрощения процедур взаимодействия общества и государства</w:t>
            </w:r>
          </w:p>
        </w:tc>
        <w:tc>
          <w:tcPr>
            <w:tcW w:w="5060" w:type="dxa"/>
            <w:gridSpan w:val="2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работоспособности информационных систем: областной электронной системы электронного документооборота, ведомственной информационной системы с применением цифровых административных регламентов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Доля предоставления массовых социально значимых государственных и муниципальных услуг в электронной форме</w:t>
            </w:r>
          </w:p>
        </w:tc>
      </w:tr>
      <w:tr>
        <w:trPr>
          <w:trHeight w:val="239" w:hRule="atLeast"/>
        </w:trPr>
        <w:tc>
          <w:tcPr>
            <w:tcW w:w="1417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4515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5060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1.1.2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Развитие системы электронных государственных и муниципальных услуг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функционирования системы межведомственного взаимодействия и оказания государственных и муниципальных услуг Брянской области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1.2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"Производительность труда (Брянская область)"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1.2.1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Создание условий для повышения производительности труда на предприятиях - участниках федерального проекта «Производительность труда» 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вовлечения предприятий базовых несырьевых отраслей экономики Брянской области для реализации проектов по повышению производительности труда по направлению «Бережливое производство»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Объем инвестиций в основной капитал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1.3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"Малое и среднее предпринимательство и поддержка индивидуальной предпринимательской инициативы (Брянская область)"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1.3.1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Расширение доступа к финансовым ресурсам субъектов МСП в приоритетных отраслях; увеличение охвата субъектов МСП услугами и мерами инфраструктуры поддержки субъектов МСП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Субъектам МСП обеспечен льготный доступ к заемным средствам государственных микрофинансовых организаций. Субъектам МСП и гражданам, желающим вести бизнес, обеспечено оказание услуг и мер поддержки организациями инфраструктуры поддержки малого и среднего предпринимательства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1.4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"Отечественные решения (Брянская область)"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1.4.1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удовлетворения спроса организаций на ИТ-решения российской ИТ-отраслью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Увеличение доли российского программного обеспечения, используемого в деятельности органов государственной власти субъектов Российской Федерации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1.5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"Системные меры развития международной кооперации и экспорта (Брянская область)"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1.5.1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Создание и функционирование системы инструментов развития ВЭД, преимущественно ориентированной на развитие отношений с дружественными странами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Внедрение Регионального экспортного стандарта 2.0; обеспечение деятельности инфраструктуры поддержки экспорта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Рост валового регионального продукта к предыдущему году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1.6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"Цифровые платформы в отраслях социальной сферы (Брянская область)"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1.6.1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массового внедрения цифровых сервисов взаимодействия с гражданами на базе созданных цифровых платформ в отраслях экономики и социальной сферы для исключения административных барьеров и повышения удовлетворенности качеством предоставления услуг в электронном виде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В государственных и муниципальных образовательных организациях сформирована ИТ-инфраструктура для обеспечения в помещениях безопасного доступа к государственным, муниципальным и иным информационным системам, а также к информационно-телекоммуникационной сети "Интернет"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1.7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Обеспечение эффективной деятельности органов государственной власти в сфере экономического развития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1.7.1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деятельности органа исполнительной власти Брянской области в рамках закрепленных полномочий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Повышение эффективности деятельности в сфере экономического развития, инвестиционной привлекательности области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Рост валового регионального продукта к предыдущему году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1.8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Реализация мероприятий по поддержке инновационной деятельности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1.8.1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проведения мероприятий по поддержке инновационной деятельности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Участие в мероприятиях (выставках) в сфере инновационной деятельности, поощрение (денежное вознаграждение) лиц, которым присвоено почётное звание "Заслуженный изобретатель Брянской области"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Объем инвестиций в основной капитал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1.9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Реализация мероприятий по развитию информационного общества и инфраструктуры электронного правительства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1.9.1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Развитие специальных информационных и информационно-технологических систем обеспечения деятельности органов государственной власти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Поддержание работоспособности сервисов, инфраструктуры электронного правительства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"Цифровая зрелость" государственного и муниципального управления, ключевых отраслей экономики и социальной сферы, в том числе здравоохранения и образования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1.10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Реализация мероприятий по повышению качества и доступности предоставления государственных и муниципальных услуг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1.10.1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Развитие сети многофункциональных центров предоставления государственных и муниципальных услуг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Создание условий для повышения качества и доступности предоставления государственных и муниципальных услуг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Доля предоставления массовых социально значимых государственных и муниципальных услуг в электронной форме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1.11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Реализация мероприятий по повышению инвестиционной привлекательности Брянской области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1.11.1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Создание условий развития, обеспечивающих привлечение инвестиций на региональный уровень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Активизация инвестиционной деятельности, рост инвестиционного потенциала, совершенствование инвестиционного имиджа Брянской области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Объем инвестиций в основной капитал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1.12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Развитие учреждений, оказывающих услуги в сфере малого и среднего предпринимательства и внешнеэкономической деятельности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Департамент экономического развития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1.12.1</w:t>
            </w:r>
          </w:p>
        </w:tc>
        <w:tc>
          <w:tcPr>
            <w:tcW w:w="4515" w:type="dxa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оказания комплексных услуг по поддержке бизнеса</w:t>
            </w:r>
          </w:p>
        </w:tc>
        <w:tc>
          <w:tcPr>
            <w:tcW w:w="5060" w:type="dxa"/>
            <w:gridSpan w:val="2"/>
            <w:vMerge w:val="restart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Повышение предпринимательской активности и развитие малого и среднего предпринимательства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Уровень удовлетворенности потенциальных и действующих субъектов МСП, осуществляющих деятельность в промышленных (индустриальных) парках, технопарках, бизнес-парках, а также получивших услуги иных организаций инфраструктуры поддержки субъектов МСП</w:t>
            </w:r>
          </w:p>
        </w:tc>
      </w:tr>
      <w:tr>
        <w:trPr>
          <w:trHeight w:val="239" w:hRule="atLeast"/>
        </w:trPr>
        <w:tc>
          <w:tcPr>
            <w:tcW w:w="1417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4515" w:type="dxa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5060" w:type="dxa"/>
            <w:gridSpan w:val="2"/>
            <w:vMerge w:val="continue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Доля субъектов МСП, превысивших предельные значения для определения категорий субъектов МСП (микро-, малые, средние)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1.13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Обеспечение эффективной деятельности органов государственной власти в сфере государственного регулирования тарифов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Управление государственного регулирования тарифов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1.13.1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деятельности Управления государственного регулирования тарифов Брянской области в рамках закрепленных полномочий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Повышение эффективности деятельности в сфере государственного регулирования тарифов в соответствии с действующим законодательством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Рост валового регионального продукта к предыдущему году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1.14</w:t>
            </w:r>
          </w:p>
        </w:tc>
        <w:tc>
          <w:tcPr>
            <w:tcW w:w="13422" w:type="dxa"/>
            <w:gridSpan w:val="4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Обеспечение эффективной деятельности органов государственной власти в сфере управления государственным имуществом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/>
            </w:r>
          </w:p>
        </w:tc>
        <w:tc>
          <w:tcPr>
            <w:tcW w:w="7195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ответственный за реализацию: Управление имущественных отношений Брянской области</w:t>
            </w:r>
          </w:p>
        </w:tc>
        <w:tc>
          <w:tcPr>
            <w:tcW w:w="6227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этап 1: 2019-2024</w:t>
              <w:br/>
              <w:t>этап 2: 2025-2030</w:t>
            </w:r>
          </w:p>
        </w:tc>
      </w:tr>
      <w:tr>
        <w:trPr>
          <w:trHeight w:val="239" w:hRule="atLeast"/>
        </w:trPr>
        <w:tc>
          <w:tcPr>
            <w:tcW w:w="141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1.14.1</w:t>
            </w:r>
          </w:p>
        </w:tc>
        <w:tc>
          <w:tcPr>
            <w:tcW w:w="4515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Обеспечение эффективного управления и распоряжения государственным имуществом Брянской области (в том числе земельными участками), рационального его использования</w:t>
            </w:r>
          </w:p>
        </w:tc>
        <w:tc>
          <w:tcPr>
            <w:tcW w:w="5060" w:type="dxa"/>
            <w:gridSpan w:val="2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Повышение эффективности деятельности в сфере управления государственным имуществом в соответствии с действующим законодательством</w:t>
            </w:r>
          </w:p>
        </w:tc>
        <w:tc>
          <w:tcPr>
            <w:tcW w:w="3847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Рост валового регионального продукта к предыдущему году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  <w:r>
        <w:br w:type="page"/>
      </w:r>
    </w:p>
    <w:p>
      <w:pPr>
        <w:pStyle w:val="Normal"/>
        <w:bidi w:val="0"/>
        <w:jc w:val="start"/>
        <w:rPr/>
      </w:pPr>
      <w:r>
        <w:rPr/>
      </w:r>
    </w:p>
    <w:tbl>
      <w:tblPr>
        <w:tblW w:w="14851" w:type="dxa"/>
        <w:jc w:val="start"/>
        <w:tblInd w:w="0" w:type="dxa"/>
        <w:tblLayout w:type="fixed"/>
        <w:tblCellMar>
          <w:top w:w="0" w:type="dxa"/>
          <w:start w:w="0" w:type="dxa"/>
          <w:bottom w:w="0" w:type="dxa"/>
          <w:end w:w="0" w:type="dxa"/>
        </w:tblCellMar>
      </w:tblPr>
      <w:tblGrid>
        <w:gridCol w:w="6082"/>
        <w:gridCol w:w="2192"/>
        <w:gridCol w:w="2192"/>
        <w:gridCol w:w="2192"/>
        <w:gridCol w:w="2193"/>
      </w:tblGrid>
      <w:tr>
        <w:trPr>
          <w:trHeight w:val="600" w:hRule="atLeast"/>
        </w:trPr>
        <w:tc>
          <w:tcPr>
            <w:tcW w:w="14851" w:type="dxa"/>
            <w:gridSpan w:val="5"/>
            <w:tcBorders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4. Финансовое обеспечение государственной программы</w:t>
            </w:r>
          </w:p>
        </w:tc>
      </w:tr>
      <w:tr>
        <w:trPr>
          <w:trHeight w:val="767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Наименование государственной программы, наименование структурного элемента,</w:t>
              <w:br/>
              <w:t>источник финансового обеспечения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2025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2026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2027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  <w:vAlign w:val="center"/>
          </w:tcPr>
          <w:p>
            <w:pPr>
              <w:pStyle w:val="Normal"/>
              <w:tabs>
                <w:tab w:val="clear" w:pos="720"/>
              </w:tabs>
              <w:bidi w:val="0"/>
              <w:jc w:val="center"/>
              <w:rPr/>
            </w:pPr>
            <w:r>
              <w:rPr>
                <w:rFonts w:ascii="Segoe UI" w:hAnsi="Segoe UI"/>
                <w:color w:val="000000"/>
                <w:sz w:val="20"/>
              </w:rPr>
              <w:t>Всего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Экономическое развитие, инвестиционная политика и инновационная экономика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524 334 233.60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435 613 307.10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436 829 468.72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1 396 777 009.42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520 835 529.60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432 114 603.10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433 330 764.72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1 386 280 897.42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3 498 704.00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3 498 704.00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3 498 704.00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10 496 112.00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"Цифровое государственное управление (Брянская область)"</w:t>
              <w:br/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75 433 297.00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73 727 597.00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73 727 597.00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222 888 491.00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75 433 297.00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73 727 597.00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73 727 597.00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222 888 491.00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"Малое и среднее предпринимательство и поддержка индивидуальной предпринимательской инициативы (Брянская область)"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14 939 319.20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14 939 319.20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14 939 319.20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14 939 319.20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Региональный проект "Производительность труда (Брянская область)"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19 342 828.28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20 741 010.10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21 957 171.72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62 041 010.10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19 342 828.28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20 741 010.10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21 957 171.72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62 041 010.10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Обеспечение эффективной деятельности органов государственной власти в сфере экономического развития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51 915 498.00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51 915 498.00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51 915 498.00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155 746 494.00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51 915 498.00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51 915 498.00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51 915 498.00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155 746 494.00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Реализация мероприятий по поддержке инновационной деятельности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1 491 281.12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1 590 000.00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1 590 000.00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4 671 281.12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1 491 281.12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1 590 000.00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1 590 000.00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4 671 281.12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Реализация мероприятий по развитию информационного общества и инфраструктуры электронного правительства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43 090 378.00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13 068 402.00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13 068 402.00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69 227 182.00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43 090 378.00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13 068 402.00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13 068 402.00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69 227 182.00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Реализация мероприятий по повышению качества и доступности предоставления государственных и муниципальных услуг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44 088 296.00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41 919 296.00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41 919 296.00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127 926 888.00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43 617 192.00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41 448 192.00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41 448 192.00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126 513 576.00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471 104.00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471 104.00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471 104.00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1 413 312.00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Реализация мероприятий по повышению инвестиционной привлекательности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41 856 993.00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32 870 237.00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32 870 237.00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107 597 467.00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41 529 393.00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32 542 637.00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32 542 637.00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106 614 667.00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327 600.00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327 600.00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327 600.00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982 800.00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Развитие учреждений, оказывающих услуги в сфере малого и среднего предпринимательства и внешнеэкономической деятельности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37 739 597.00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21 219 472.00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21 219 472.00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80 178 541.00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35 039 597.00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18 519 472.00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18 519 472.00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72 078 541.00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2 700 000.00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2 700 000.00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2 700 000.00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8 100 000.00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Обеспечение эффективной деятельности органов государственной власти в сфере государственного регулирования тарифов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30 348 921.00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30 406 392.00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30 406 392.00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91 161 705.00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30 348 921.00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30 406 392.00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30 406 392.00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91 161 705.00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Обеспечение эффективной деятельности органов государственной власти в сфере управления государственным имуществом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164 087 825.00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148 155 403.00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148 155 403.00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b/>
                <w:color w:val="000000"/>
                <w:sz w:val="20"/>
              </w:rPr>
              <w:t>460 398 631.00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областной бюджет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164 087 825.00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148 155 403.00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148 155 403.00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460 398 631.00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местные бюджеты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внебюджетные средства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 xml:space="preserve">      </w:t>
            </w:r>
            <w:r>
              <w:rPr>
                <w:rFonts w:ascii="Segoe UI" w:hAnsi="Segoe UI"/>
                <w:color w:val="000000"/>
                <w:sz w:val="20"/>
              </w:rPr>
              <w:t>средства ТФОМС Брянской области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0.00</w:t>
            </w:r>
          </w:p>
        </w:tc>
      </w:tr>
      <w:tr>
        <w:trPr>
          <w:trHeight w:val="288" w:hRule="atLeast"/>
        </w:trPr>
        <w:tc>
          <w:tcPr>
            <w:tcW w:w="608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start"/>
              <w:rPr/>
            </w:pPr>
            <w:r>
              <w:rPr>
                <w:rFonts w:ascii="Segoe UI" w:hAnsi="Segoe UI"/>
                <w:color w:val="000000"/>
                <w:sz w:val="20"/>
              </w:rPr>
              <w:t>справочно: объем налоговых расходов на реализацию государственной программы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1 957 867 000.00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1 225 798 000.00</w:t>
            </w:r>
          </w:p>
        </w:tc>
        <w:tc>
          <w:tcPr>
            <w:tcW w:w="2192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1 087 088 000.00</w:t>
            </w:r>
          </w:p>
        </w:tc>
        <w:tc>
          <w:tcPr>
            <w:tcW w:w="2193" w:type="dxa"/>
            <w:tcBorders>
              <w:top w:val="single" w:sz="8" w:space="0" w:color="000000"/>
              <w:start w:val="single" w:sz="8" w:space="0" w:color="000000"/>
              <w:bottom w:val="single" w:sz="8" w:space="0" w:color="000000"/>
              <w:end w:val="single" w:sz="8" w:space="0" w:color="000000"/>
            </w:tcBorders>
          </w:tcPr>
          <w:p>
            <w:pPr>
              <w:pStyle w:val="Normal"/>
              <w:tabs>
                <w:tab w:val="clear" w:pos="720"/>
              </w:tabs>
              <w:bidi w:val="0"/>
              <w:jc w:val="end"/>
              <w:rPr/>
            </w:pPr>
            <w:r>
              <w:rPr>
                <w:rFonts w:ascii="Segoe UI" w:hAnsi="Segoe UI"/>
                <w:color w:val="000000"/>
                <w:sz w:val="20"/>
              </w:rPr>
              <w:t>4 270 753 000.00</w:t>
            </w:r>
          </w:p>
        </w:tc>
      </w:tr>
    </w:tbl>
    <w:p>
      <w:pPr>
        <w:pStyle w:val="Normal"/>
        <w:bidi w:val="0"/>
        <w:jc w:val="start"/>
        <w:rPr/>
      </w:pPr>
      <w:r>
        <w:rPr/>
      </w:r>
    </w:p>
    <w:sectPr>
      <w:type w:val="nextPage"/>
      <w:pgSz w:orient="landscape" w:w="16901" w:h="11950"/>
      <w:pgMar w:left="1701" w:right="850" w:gutter="0" w:header="0" w:top="1134" w:footer="0" w:bottom="1701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cc" w:characterSet="windows-1251"/>
    <w:family w:val="roman"/>
    <w:pitch w:val="variable"/>
  </w:font>
  <w:font w:name="Liberation Sans">
    <w:altName w:val="Arial"/>
    <w:charset w:val="cc" w:characterSet="windows-1251"/>
    <w:family w:val="swiss"/>
    <w:pitch w:val="variable"/>
  </w:font>
  <w:font w:name="Segoe UI">
    <w:charset w:val="cc" w:characterSet="windows-1251"/>
    <w:family w:val="roman"/>
    <w:pitch w:val="variable"/>
  </w:font>
  <w:font w:name="Arial">
    <w:charset w:val="cc" w:characterSet="windows-125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autoHyphenation w:val="true"/>
  <w:compat>
    <w:doNotBreakWrappedTables/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5">
    <w:name w:val="Указатель"/>
    <w:basedOn w:val="Normal"/>
    <w:qFormat/>
    <w:pPr>
      <w:suppressLineNumbers/>
    </w:pPr>
    <w:rPr>
      <w:rFonts w:cs="Ari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LibreOffice/24.2.0.3$Windows_X86_64 LibreOffice_project/da48488a73ddd66ea24cf16bbc4f7b9c08e9bea1</Application>
  <AppVersion>15.0000</AppVersion>
  <Pages>32</Pages>
  <Words>3948</Words>
  <Characters>26493</Characters>
  <CharactersWithSpaces>30139</CharactersWithSpaces>
  <Paragraphs>620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ReportDesigner</dc:creator>
  <dc:description/>
  <dc:language>ru-RU</dc:language>
  <cp:lastModifiedBy/>
  <cp:revision>0</cp:revision>
  <dc:subject/>
  <dc:title/>
</cp:coreProperties>
</file>